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Theme="minorEastAsia" w:hAnsiTheme="minorEastAsia"/>
          <w:b w:val="1"/>
          <w:color w:val="auto"/>
          <w:sz w:val="28"/>
        </w:rPr>
      </w:pPr>
      <w:r>
        <w:rPr>
          <w:rFonts w:hint="eastAsia" w:asciiTheme="minorEastAsia" w:hAnsiTheme="minorEastAsia"/>
          <w:b w:val="1"/>
          <w:color w:val="auto"/>
          <w:sz w:val="28"/>
        </w:rPr>
        <w:t>配水管布設工事等に伴う給水管の付替えについて</w:t>
      </w:r>
    </w:p>
    <w:p>
      <w:pPr>
        <w:pStyle w:val="0"/>
        <w:spacing w:line="276" w:lineRule="auto"/>
        <w:rPr>
          <w:rFonts w:hint="default" w:asciiTheme="minorEastAsia" w:hAnsiTheme="minorEastAsia"/>
          <w:color w:val="auto"/>
          <w:sz w:val="22"/>
        </w:rPr>
      </w:pP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本項目については、配水管布設工事等に伴う給水管の付替え工事について定めるものである。</w:t>
      </w:r>
    </w:p>
    <w:p>
      <w:pPr>
        <w:pStyle w:val="0"/>
        <w:spacing w:line="276" w:lineRule="auto"/>
        <w:rPr>
          <w:rFonts w:hint="default" w:asciiTheme="minorEastAsia" w:hAnsiTheme="minorEastAsia"/>
          <w:color w:val="auto"/>
          <w:sz w:val="22"/>
        </w:rPr>
      </w:pPr>
    </w:p>
    <w:p>
      <w:pPr>
        <w:pStyle w:val="0"/>
        <w:spacing w:line="276" w:lineRule="auto"/>
        <w:rPr>
          <w:rFonts w:hint="default" w:asciiTheme="minorEastAsia" w:hAnsiTheme="minorEastAsia"/>
          <w:strike w:val="1"/>
          <w:color w:val="auto"/>
          <w:sz w:val="22"/>
        </w:rPr>
      </w:pPr>
      <w:r>
        <w:rPr>
          <w:rFonts w:hint="eastAsia" w:asciiTheme="minorEastAsia" w:hAnsiTheme="minorEastAsia"/>
          <w:b w:val="1"/>
          <w:color w:val="auto"/>
          <w:sz w:val="22"/>
        </w:rPr>
        <w:t>・承諾書の徴収</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給水管の付替えに当たっては所有者（承諾者）へ承諾を得る。（様式１、２）承諾書の依頼、回収は施工業者が行う。（説明資料１、２）費用については承諾書受領事務として直接工事費に積上げ、共通仮設費の対象外とする。（設計資料１）</w:t>
      </w:r>
    </w:p>
    <w:p>
      <w:pPr>
        <w:pStyle w:val="0"/>
        <w:spacing w:line="276" w:lineRule="auto"/>
        <w:rPr>
          <w:rFonts w:hint="eastAsia" w:asciiTheme="minorEastAsia" w:hAnsiTheme="minorEastAsia"/>
          <w:color w:val="auto"/>
          <w:sz w:val="22"/>
        </w:rPr>
      </w:pPr>
      <w:r>
        <w:rPr>
          <w:rFonts w:hint="eastAsia" w:asciiTheme="minorEastAsia" w:hAnsiTheme="minorEastAsia"/>
          <w:color w:val="auto"/>
          <w:sz w:val="22"/>
        </w:rPr>
        <w:t>　</w:t>
      </w:r>
      <w:r>
        <w:rPr>
          <w:rFonts w:hint="eastAsia" w:asciiTheme="minorEastAsia" w:hAnsiTheme="minorEastAsia"/>
          <w:color w:val="auto"/>
          <w:sz w:val="22"/>
        </w:rPr>
        <w:t>(</w:t>
      </w:r>
      <w:r>
        <w:rPr>
          <w:rFonts w:hint="eastAsia" w:asciiTheme="minorEastAsia" w:hAnsiTheme="minorEastAsia"/>
          <w:color w:val="auto"/>
          <w:sz w:val="22"/>
        </w:rPr>
        <w:t>令和</w:t>
      </w:r>
      <w:r>
        <w:rPr>
          <w:rFonts w:hint="eastAsia" w:asciiTheme="minorEastAsia" w:hAnsiTheme="minorEastAsia"/>
          <w:color w:val="auto"/>
          <w:sz w:val="22"/>
        </w:rPr>
        <w:t>3</w:t>
      </w:r>
      <w:r>
        <w:rPr>
          <w:rFonts w:hint="eastAsia" w:asciiTheme="minorEastAsia" w:hAnsiTheme="minorEastAsia"/>
          <w:color w:val="auto"/>
          <w:sz w:val="22"/>
        </w:rPr>
        <w:t>年</w:t>
      </w:r>
      <w:r>
        <w:rPr>
          <w:rFonts w:hint="eastAsia" w:asciiTheme="minorEastAsia" w:hAnsiTheme="minorEastAsia"/>
          <w:color w:val="auto"/>
          <w:sz w:val="22"/>
        </w:rPr>
        <w:t>9</w:t>
      </w:r>
      <w:r>
        <w:rPr>
          <w:rFonts w:hint="eastAsia" w:asciiTheme="minorEastAsia" w:hAnsiTheme="minorEastAsia"/>
          <w:color w:val="auto"/>
          <w:sz w:val="22"/>
        </w:rPr>
        <w:t>月</w:t>
      </w:r>
      <w:r>
        <w:rPr>
          <w:rFonts w:hint="eastAsia" w:asciiTheme="minorEastAsia" w:hAnsiTheme="minorEastAsia"/>
          <w:color w:val="auto"/>
          <w:sz w:val="22"/>
        </w:rPr>
        <w:t>14</w:t>
      </w:r>
      <w:r>
        <w:rPr>
          <w:rFonts w:hint="eastAsia" w:asciiTheme="minorEastAsia" w:hAnsiTheme="minorEastAsia"/>
          <w:color w:val="auto"/>
          <w:sz w:val="22"/>
        </w:rPr>
        <w:t>日改定</w:t>
      </w:r>
      <w:r>
        <w:rPr>
          <w:rFonts w:hint="eastAsia" w:asciiTheme="minorEastAsia" w:hAnsiTheme="minorEastAsia"/>
          <w:color w:val="auto"/>
          <w:sz w:val="22"/>
        </w:rPr>
        <w:t>)</w:t>
      </w:r>
    </w:p>
    <w:p>
      <w:pPr>
        <w:pStyle w:val="0"/>
        <w:spacing w:line="276" w:lineRule="auto"/>
        <w:rPr>
          <w:rFonts w:hint="eastAsia" w:asciiTheme="minorEastAsia" w:hAnsiTheme="minorEastAsia"/>
          <w:color w:val="auto"/>
          <w:sz w:val="22"/>
        </w:rPr>
      </w:pP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給水管が所有者（承諾者）以外の民地を通る場合民地の所有者へ承諾を得る。</w:t>
      </w:r>
    </w:p>
    <w:p>
      <w:pPr>
        <w:pStyle w:val="0"/>
        <w:spacing w:line="276" w:lineRule="auto"/>
        <w:rPr>
          <w:rFonts w:hint="default" w:asciiTheme="minorEastAsia" w:hAnsiTheme="minorEastAsia"/>
          <w:b w:val="1"/>
          <w:color w:val="auto"/>
          <w:sz w:val="22"/>
        </w:rPr>
      </w:pPr>
    </w:p>
    <w:p>
      <w:pPr>
        <w:pStyle w:val="0"/>
        <w:spacing w:line="276" w:lineRule="auto"/>
        <w:rPr>
          <w:rFonts w:hint="default" w:asciiTheme="minorEastAsia" w:hAnsiTheme="minorEastAsia"/>
          <w:b w:val="1"/>
          <w:color w:val="auto"/>
          <w:sz w:val="22"/>
        </w:rPr>
      </w:pPr>
      <w:r>
        <w:rPr>
          <w:rFonts w:hint="eastAsia" w:asciiTheme="minorEastAsia" w:hAnsiTheme="minorEastAsia"/>
          <w:b w:val="1"/>
          <w:color w:val="auto"/>
          <w:sz w:val="22"/>
        </w:rPr>
        <w:t>・付替え工事の範囲</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メーターの一次側まで付替え工事を行うこと。ただし以下の場合は第一止水栓までとすること。</w:t>
      </w:r>
    </w:p>
    <w:p>
      <w:pPr>
        <w:pStyle w:val="0"/>
        <w:spacing w:line="276" w:lineRule="auto"/>
        <w:ind w:left="254" w:leftChars="1" w:hanging="252" w:hangingChars="113"/>
        <w:rPr>
          <w:rFonts w:hint="default" w:asciiTheme="minorEastAsia" w:hAnsiTheme="minorEastAsia"/>
          <w:color w:val="auto"/>
          <w:sz w:val="22"/>
        </w:rPr>
      </w:pPr>
      <w:r>
        <w:rPr>
          <w:rFonts w:hint="eastAsia" w:asciiTheme="minorEastAsia" w:hAnsiTheme="minorEastAsia"/>
          <w:color w:val="auto"/>
          <w:sz w:val="22"/>
        </w:rPr>
        <w:t>　・給水管を布設してから</w:t>
      </w:r>
      <w:r>
        <w:rPr>
          <w:rFonts w:hint="eastAsia" w:asciiTheme="minorEastAsia" w:hAnsiTheme="minorEastAsia"/>
          <w:color w:val="auto"/>
          <w:sz w:val="22"/>
        </w:rPr>
        <w:t>20</w:t>
      </w:r>
      <w:r>
        <w:rPr>
          <w:rFonts w:hint="eastAsia" w:asciiTheme="minorEastAsia" w:hAnsiTheme="minorEastAsia"/>
          <w:color w:val="auto"/>
          <w:sz w:val="22"/>
        </w:rPr>
        <w:t>年を経過していない管。ただし一度でも漏水歴がある管はメーターまで付替えを行うこと。</w:t>
      </w:r>
    </w:p>
    <w:p>
      <w:pPr>
        <w:pStyle w:val="0"/>
        <w:spacing w:line="276" w:lineRule="auto"/>
        <w:ind w:left="223" w:hanging="223" w:hangingChars="100"/>
        <w:rPr>
          <w:rFonts w:hint="default" w:asciiTheme="minorEastAsia" w:hAnsiTheme="minorEastAsia"/>
          <w:color w:val="auto"/>
          <w:sz w:val="22"/>
        </w:rPr>
      </w:pPr>
      <w:r>
        <w:rPr>
          <w:rFonts w:hint="eastAsia" w:asciiTheme="minorEastAsia" w:hAnsiTheme="minorEastAsia"/>
          <w:color w:val="auto"/>
          <w:sz w:val="22"/>
        </w:rPr>
        <w:t>　・給水管が橋梁添架されている、国道横断をしている、給水管の延長が長大である等付替えに多額の費用を伴うもの。</w:t>
      </w:r>
    </w:p>
    <w:p>
      <w:pPr>
        <w:pStyle w:val="0"/>
        <w:spacing w:line="276" w:lineRule="auto"/>
        <w:ind w:left="223" w:hanging="223" w:hangingChars="100"/>
        <w:rPr>
          <w:rFonts w:hint="default" w:asciiTheme="minorEastAsia" w:hAnsiTheme="minorEastAsia"/>
          <w:color w:val="auto"/>
          <w:sz w:val="22"/>
        </w:rPr>
      </w:pPr>
      <w:r>
        <w:rPr>
          <w:rFonts w:hint="eastAsia" w:asciiTheme="minorEastAsia" w:hAnsiTheme="minorEastAsia"/>
          <w:color w:val="auto"/>
          <w:sz w:val="22"/>
        </w:rPr>
        <w:t>　・給水管の所有者（承諾者）及び関係地権者の承諾が得られなかった場合。</w:t>
      </w:r>
    </w:p>
    <w:p>
      <w:pPr>
        <w:pStyle w:val="0"/>
        <w:spacing w:line="276" w:lineRule="auto"/>
        <w:ind w:left="223" w:hanging="223" w:hangingChars="100"/>
        <w:rPr>
          <w:rFonts w:hint="default" w:asciiTheme="minorEastAsia" w:hAnsiTheme="minorEastAsia"/>
          <w:color w:val="auto"/>
          <w:sz w:val="22"/>
        </w:rPr>
      </w:pPr>
      <w:r>
        <w:rPr>
          <w:rFonts w:hint="eastAsia" w:asciiTheme="minorEastAsia" w:hAnsiTheme="minorEastAsia"/>
          <w:color w:val="auto"/>
          <w:sz w:val="22"/>
        </w:rPr>
        <w:t>　・給水管の所有者（承諾者）及び関係地権者と規定の期日までに連絡が取れなかった場合。</w:t>
      </w:r>
    </w:p>
    <w:p>
      <w:pPr>
        <w:pStyle w:val="0"/>
        <w:spacing w:line="276" w:lineRule="auto"/>
        <w:ind w:left="223" w:hanging="223" w:hangingChars="100"/>
        <w:rPr>
          <w:rFonts w:hint="default" w:asciiTheme="minorEastAsia" w:hAnsiTheme="minorEastAsia"/>
          <w:b w:val="1"/>
          <w:color w:val="auto"/>
          <w:sz w:val="22"/>
        </w:rPr>
      </w:pPr>
    </w:p>
    <w:p>
      <w:pPr>
        <w:pStyle w:val="0"/>
        <w:spacing w:line="276" w:lineRule="auto"/>
        <w:ind w:left="223" w:hanging="223" w:hangingChars="100"/>
        <w:rPr>
          <w:rFonts w:hint="default" w:asciiTheme="minorEastAsia" w:hAnsiTheme="minorEastAsia"/>
          <w:b w:val="1"/>
          <w:color w:val="auto"/>
          <w:sz w:val="22"/>
        </w:rPr>
      </w:pPr>
      <w:r>
        <w:rPr>
          <w:rFonts w:hint="eastAsia" w:asciiTheme="minorEastAsia" w:hAnsiTheme="minorEastAsia"/>
          <w:b w:val="1"/>
          <w:color w:val="auto"/>
          <w:sz w:val="22"/>
        </w:rPr>
        <w:t>・メーターの移設について</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付替えをするメーターが官民境より</w:t>
      </w:r>
      <w:r>
        <w:rPr>
          <w:rFonts w:hint="eastAsia" w:asciiTheme="minorEastAsia" w:hAnsiTheme="minorEastAsia"/>
          <w:color w:val="auto"/>
          <w:sz w:val="22"/>
        </w:rPr>
        <w:t>2</w:t>
      </w:r>
      <w:r>
        <w:rPr>
          <w:rFonts w:hint="eastAsia" w:asciiTheme="minorEastAsia" w:hAnsiTheme="minorEastAsia"/>
          <w:color w:val="auto"/>
          <w:sz w:val="22"/>
        </w:rPr>
        <w:t>ｍ以内に無かった場合は</w:t>
      </w:r>
      <w:r>
        <w:rPr>
          <w:rFonts w:hint="eastAsia" w:asciiTheme="minorEastAsia" w:hAnsiTheme="minorEastAsia"/>
          <w:color w:val="auto"/>
          <w:sz w:val="22"/>
        </w:rPr>
        <w:t>2</w:t>
      </w:r>
      <w:r>
        <w:rPr>
          <w:rFonts w:hint="eastAsia" w:asciiTheme="minorEastAsia" w:hAnsiTheme="minorEastAsia"/>
          <w:color w:val="auto"/>
          <w:sz w:val="22"/>
        </w:rPr>
        <w:t>ｍ以内へ移設する。（資料</w:t>
      </w:r>
      <w:r>
        <w:rPr>
          <w:rFonts w:hint="eastAsia" w:asciiTheme="minorEastAsia" w:hAnsiTheme="minorEastAsia"/>
          <w:color w:val="auto"/>
          <w:sz w:val="22"/>
        </w:rPr>
        <w:t>2</w:t>
      </w:r>
      <w:r>
        <w:rPr>
          <w:rFonts w:hint="eastAsia" w:asciiTheme="minorEastAsia" w:hAnsiTheme="minorEastAsia"/>
          <w:color w:val="auto"/>
          <w:sz w:val="22"/>
        </w:rPr>
        <w:t>）移設費用については水道局で負担する。</w:t>
      </w:r>
    </w:p>
    <w:p>
      <w:pPr>
        <w:pStyle w:val="0"/>
        <w:spacing w:line="276" w:lineRule="auto"/>
        <w:rPr>
          <w:rFonts w:hint="default" w:asciiTheme="minorEastAsia" w:hAnsiTheme="minorEastAsia"/>
          <w:b w:val="1"/>
          <w:color w:val="auto"/>
          <w:sz w:val="22"/>
        </w:rPr>
      </w:pPr>
    </w:p>
    <w:p>
      <w:pPr>
        <w:pStyle w:val="0"/>
        <w:spacing w:line="276" w:lineRule="auto"/>
        <w:rPr>
          <w:rFonts w:hint="default" w:asciiTheme="minorEastAsia" w:hAnsiTheme="minorEastAsia"/>
          <w:b w:val="1"/>
          <w:color w:val="auto"/>
          <w:sz w:val="22"/>
        </w:rPr>
      </w:pPr>
      <w:r>
        <w:rPr>
          <w:rFonts w:hint="eastAsia" w:asciiTheme="minorEastAsia" w:hAnsiTheme="minorEastAsia"/>
          <w:b w:val="1"/>
          <w:color w:val="auto"/>
          <w:sz w:val="22"/>
        </w:rPr>
        <w:t>・配水支管への移管</w:t>
      </w:r>
    </w:p>
    <w:p>
      <w:pPr>
        <w:pStyle w:val="0"/>
        <w:spacing w:line="276" w:lineRule="auto"/>
        <w:rPr>
          <w:rFonts w:hint="default" w:asciiTheme="minorEastAsia" w:hAnsiTheme="minorEastAsia"/>
          <w:color w:val="auto"/>
          <w:sz w:val="22"/>
        </w:rPr>
      </w:pPr>
      <w:r>
        <w:rPr>
          <w:rFonts w:hint="eastAsia" w:asciiTheme="minorEastAsia" w:hAnsiTheme="minorEastAsia"/>
          <w:b w:val="1"/>
          <w:color w:val="auto"/>
          <w:sz w:val="22"/>
        </w:rPr>
        <w:t>　</w:t>
      </w:r>
      <w:r>
        <w:rPr>
          <w:rFonts w:hint="eastAsia" w:asciiTheme="minorEastAsia" w:hAnsiTheme="minorEastAsia"/>
          <w:color w:val="auto"/>
          <w:sz w:val="22"/>
        </w:rPr>
        <w:t>2</w:t>
      </w:r>
      <w:r>
        <w:rPr>
          <w:rFonts w:hint="eastAsia" w:asciiTheme="minorEastAsia" w:hAnsiTheme="minorEastAsia"/>
          <w:color w:val="auto"/>
          <w:sz w:val="22"/>
        </w:rPr>
        <w:t>件以上で使用している共同管については、付替えの際、配水支管として水道局へ移管するものとする。ただし以下の場合は移管しない。</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・共同管の埋設位置が民地であり、地権者より承諾が得られなかった場合。</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・庭先など道路形態が無い場所に共同管が埋設されている場合。</w:t>
      </w:r>
      <w:bookmarkStart w:id="0" w:name="_GoBack"/>
      <w:bookmarkEnd w:id="0"/>
    </w:p>
    <w:p>
      <w:pPr>
        <w:pStyle w:val="0"/>
        <w:spacing w:line="276" w:lineRule="auto"/>
        <w:rPr>
          <w:rFonts w:hint="default" w:asciiTheme="minorEastAsia" w:hAnsiTheme="minorEastAsia"/>
          <w:color w:val="auto"/>
          <w:sz w:val="22"/>
        </w:rPr>
      </w:pPr>
    </w:p>
    <w:p>
      <w:pPr>
        <w:pStyle w:val="0"/>
        <w:spacing w:line="276" w:lineRule="auto"/>
        <w:rPr>
          <w:rFonts w:hint="default" w:asciiTheme="minorEastAsia" w:hAnsiTheme="minorEastAsia"/>
          <w:b w:val="1"/>
          <w:color w:val="auto"/>
          <w:sz w:val="22"/>
        </w:rPr>
      </w:pPr>
      <w:r>
        <w:rPr>
          <w:rFonts w:hint="eastAsia" w:asciiTheme="minorEastAsia" w:hAnsiTheme="minorEastAsia"/>
          <w:b w:val="1"/>
          <w:color w:val="auto"/>
          <w:sz w:val="22"/>
        </w:rPr>
        <w:t>・配水支管とする範囲</w:t>
      </w:r>
    </w:p>
    <w:p>
      <w:pPr>
        <w:pStyle w:val="0"/>
        <w:spacing w:line="276" w:lineRule="auto"/>
        <w:rPr>
          <w:rFonts w:hint="default" w:asciiTheme="minorEastAsia" w:hAnsiTheme="minorEastAsia"/>
          <w:color w:val="auto"/>
          <w:sz w:val="22"/>
        </w:rPr>
      </w:pPr>
      <w:r>
        <w:rPr>
          <w:rFonts w:hint="eastAsia" w:asciiTheme="minorEastAsia" w:hAnsiTheme="minorEastAsia"/>
          <w:color w:val="auto"/>
          <w:sz w:val="22"/>
        </w:rPr>
        <w:t>　配水管より分岐した箇所より、最終の分岐点までとする。ただし担当課所の判断により、配水支管とする範囲を伸ばすことが出来る。</w:t>
      </w:r>
    </w:p>
    <w:p>
      <w:pPr>
        <w:pStyle w:val="0"/>
        <w:spacing w:line="276" w:lineRule="auto"/>
        <w:ind w:leftChars="0" w:firstLine="0" w:firstLineChars="0"/>
        <w:rPr>
          <w:rFonts w:hint="default" w:asciiTheme="minorEastAsia" w:hAnsiTheme="minorEastAsia"/>
          <w:b w:val="1"/>
          <w:color w:val="auto"/>
          <w:sz w:val="22"/>
        </w:rPr>
      </w:pPr>
    </w:p>
    <w:p>
      <w:pPr>
        <w:pStyle w:val="0"/>
        <w:spacing w:line="276" w:lineRule="auto"/>
        <w:ind w:firstLine="223" w:firstLineChars="100"/>
        <w:rPr>
          <w:rFonts w:hint="default" w:asciiTheme="minorEastAsia" w:hAnsiTheme="minorEastAsia"/>
          <w:b w:val="1"/>
          <w:color w:val="FF0000"/>
          <w:sz w:val="22"/>
        </w:rPr>
      </w:pPr>
      <w:r>
        <w:rPr>
          <w:rFonts w:hint="eastAsia" w:asciiTheme="minorEastAsia" w:hAnsiTheme="minorEastAsia"/>
          <w:b w:val="1"/>
          <w:color w:val="auto"/>
          <w:sz w:val="22"/>
        </w:rPr>
        <w:t>本項目は令和</w:t>
      </w:r>
      <w:r>
        <w:rPr>
          <w:rFonts w:hint="eastAsia" w:asciiTheme="minorEastAsia" w:hAnsiTheme="minorEastAsia"/>
          <w:b w:val="1"/>
          <w:color w:val="auto"/>
          <w:sz w:val="22"/>
        </w:rPr>
        <w:t>3</w:t>
      </w:r>
      <w:r>
        <w:rPr>
          <w:rFonts w:hint="eastAsia" w:asciiTheme="minorEastAsia" w:hAnsiTheme="minorEastAsia"/>
          <w:b w:val="1"/>
          <w:color w:val="auto"/>
          <w:sz w:val="22"/>
        </w:rPr>
        <w:t>年</w:t>
      </w:r>
      <w:r>
        <w:rPr>
          <w:rFonts w:hint="eastAsia" w:asciiTheme="minorEastAsia" w:hAnsiTheme="minorEastAsia"/>
          <w:b w:val="1"/>
          <w:color w:val="auto"/>
          <w:sz w:val="22"/>
        </w:rPr>
        <w:t>9</w:t>
      </w:r>
      <w:r>
        <w:rPr>
          <w:rFonts w:hint="eastAsia" w:asciiTheme="minorEastAsia" w:hAnsiTheme="minorEastAsia"/>
          <w:b w:val="1"/>
          <w:color w:val="auto"/>
          <w:sz w:val="22"/>
        </w:rPr>
        <w:t>月</w:t>
      </w:r>
      <w:r>
        <w:rPr>
          <w:rFonts w:hint="eastAsia" w:asciiTheme="minorEastAsia" w:hAnsiTheme="minorEastAsia"/>
          <w:b w:val="1"/>
          <w:color w:val="auto"/>
          <w:sz w:val="22"/>
        </w:rPr>
        <w:t>14</w:t>
      </w:r>
      <w:r>
        <w:rPr>
          <w:rFonts w:hint="eastAsia" w:asciiTheme="minorEastAsia" w:hAnsiTheme="minorEastAsia"/>
          <w:b w:val="1"/>
          <w:color w:val="auto"/>
          <w:sz w:val="22"/>
        </w:rPr>
        <w:t>日より適用する。</w:t>
      </w:r>
    </w:p>
    <w:p>
      <w:pPr>
        <w:pStyle w:val="0"/>
        <w:spacing w:line="276" w:lineRule="auto"/>
        <w:ind w:firstLine="223" w:firstLineChars="100"/>
        <w:rPr>
          <w:rFonts w:hint="eastAsia" w:asciiTheme="minorEastAsia" w:hAnsiTheme="minorEastAsia"/>
          <w:b w:val="1"/>
          <w:color w:val="FF0000"/>
          <w:sz w:val="22"/>
        </w:rPr>
      </w:pPr>
    </w:p>
    <w:p>
      <w:pPr>
        <w:pStyle w:val="0"/>
        <w:spacing w:line="276" w:lineRule="auto"/>
        <w:rPr>
          <w:rFonts w:hint="default" w:asciiTheme="minorEastAsia" w:hAnsiTheme="minorEastAsia"/>
          <w:sz w:val="22"/>
        </w:rPr>
      </w:pPr>
      <w:r>
        <w:rPr>
          <w:rFonts w:hint="eastAsia" w:asciiTheme="minorEastAsia" w:hAnsiTheme="minorEastAsia"/>
          <w:sz w:val="22"/>
        </w:rPr>
        <w:t>（補足事項）</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給水管の付替えについて</w:t>
      </w:r>
    </w:p>
    <w:p>
      <w:pPr>
        <w:pStyle w:val="0"/>
        <w:spacing w:line="276" w:lineRule="auto"/>
        <w:rPr>
          <w:rFonts w:hint="default" w:asciiTheme="minorEastAsia" w:hAnsiTheme="minorEastAsia"/>
          <w:sz w:val="22"/>
        </w:rPr>
      </w:pPr>
      <w:r>
        <w:rPr>
          <w:rFonts w:hint="eastAsia" w:asciiTheme="minorEastAsia" w:hAnsiTheme="minorEastAsia"/>
          <w:sz w:val="22"/>
        </w:rPr>
        <w:t>・布設年度が不明な管はメーターまで付替えを行う。</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・給水管の付替えに多額の費用が伴う場合にメーターまで付替えを行うかの判断は担当課所で行う。</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・接続されているメーターが布設工事等を行う管より大きく離れていた場合、担当課所の判断で近隣の別の配水管から付替えを行ってもよい。</w:t>
      </w:r>
    </w:p>
    <w:p>
      <w:pPr>
        <w:pStyle w:val="0"/>
        <w:spacing w:line="276" w:lineRule="auto"/>
        <w:rPr>
          <w:rFonts w:hint="default" w:asciiTheme="minorEastAsia" w:hAnsiTheme="minorEastAsia"/>
          <w:b w:val="1"/>
          <w:sz w:val="22"/>
        </w:rPr>
      </w:pPr>
    </w:p>
    <w:p>
      <w:pPr>
        <w:pStyle w:val="0"/>
        <w:spacing w:line="276" w:lineRule="auto"/>
        <w:rPr>
          <w:rFonts w:hint="default" w:asciiTheme="minorEastAsia" w:hAnsiTheme="minorEastAsia"/>
          <w:b w:val="1"/>
          <w:sz w:val="22"/>
        </w:rPr>
      </w:pPr>
      <w:r>
        <w:rPr>
          <w:rFonts w:hint="eastAsia" w:asciiTheme="minorEastAsia" w:hAnsiTheme="minorEastAsia"/>
          <w:b w:val="1"/>
          <w:sz w:val="22"/>
        </w:rPr>
        <w:t>配水支管について</w:t>
      </w:r>
    </w:p>
    <w:p>
      <w:pPr>
        <w:pStyle w:val="0"/>
        <w:spacing w:line="276" w:lineRule="auto"/>
        <w:rPr>
          <w:rFonts w:hint="default" w:asciiTheme="minorEastAsia" w:hAnsiTheme="minorEastAsia"/>
          <w:sz w:val="22"/>
        </w:rPr>
      </w:pPr>
      <w:r>
        <w:rPr>
          <w:rFonts w:hint="eastAsia" w:asciiTheme="minorEastAsia" w:hAnsiTheme="minorEastAsia"/>
          <w:sz w:val="22"/>
        </w:rPr>
        <w:t>・識別マーカーは配水管と同様に設置する。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・最終の分岐点より給水管の延長が長く後々給水の分岐が増える可能性がある箇所については、担当課所の判断で配水支管とすることが出来る。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・親子等の近親者同士の共同管であっても配水支管とする。</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r>
        <w:rPr>
          <w:rFonts w:hint="eastAsia" w:asciiTheme="minorEastAsia" w:hAnsiTheme="minorEastAsia"/>
          <w:sz w:val="22"/>
        </w:rPr>
        <w:t>・軽微な管路の延長であれば公道を通ったルートに引き替えを行う。公道を通すことで大幅に費用が増える場合は既設と同ルートとする。判断は各課所で行う。</w:t>
      </w: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default" w:asciiTheme="minorEastAsia" w:hAnsiTheme="minorEastAsia"/>
          <w:sz w:val="22"/>
        </w:rPr>
      </w:pPr>
    </w:p>
    <w:p>
      <w:pPr>
        <w:pStyle w:val="0"/>
        <w:spacing w:line="276" w:lineRule="auto"/>
        <w:rPr>
          <w:rFonts w:hint="eastAsia" w:asciiTheme="minorEastAsia" w:hAnsiTheme="minorEastAsia"/>
          <w:sz w:val="22"/>
        </w:rPr>
      </w:pPr>
    </w:p>
    <w:sectPr>
      <w:headerReference r:id="rId5" w:type="default"/>
      <w:pgSz w:w="11906" w:h="16838"/>
      <w:pgMar w:top="1701" w:right="1701" w:bottom="1418" w:left="1701" w:header="567" w:footer="454" w:gutter="0"/>
      <w:cols w:space="720"/>
      <w:textDirection w:val="lrTb"/>
      <w:docGrid w:type="linesAndChars" w:linePitch="298" w:charSpace="5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Ｐゴシック">
    <w:panose1 w:val="00000000000000000000"/>
    <w:charset w:val="80"/>
    <w:family w:val="moder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jc w:val="right"/>
      <w:rPr>
        <w:rFonts w:hint="default" w:asciiTheme="majorEastAsia" w:hAnsiTheme="majorEastAsia" w:eastAsiaTheme="majorEastAsia"/>
        <w:sz w:val="18"/>
      </w:rPr>
    </w:pPr>
    <w:r>
      <w:rPr>
        <w:rFonts w:hint="eastAsia" w:asciiTheme="majorEastAsia" w:hAnsiTheme="majorEastAsia" w:eastAsiaTheme="majorEastAsia"/>
        <w:sz w:val="18"/>
      </w:rPr>
      <w:t>資－１７　　　　　　　　　　　　　　　　　　　　　　　　　　　　　　秩父広域市町村圏組合水道局</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3"/>
  <w:drawingGridVerticalSpacing w:val="14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List Paragraph"/>
    <w:basedOn w:val="0"/>
    <w:next w:val="17"/>
    <w:link w:val="0"/>
    <w:uiPriority w:val="0"/>
    <w:qFormat/>
    <w:pPr>
      <w:ind w:left="840" w:leftChars="400"/>
    </w:p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style>
  <w:style w:type="paragraph" w:styleId="22">
    <w:name w:val="Date"/>
    <w:basedOn w:val="0"/>
    <w:next w:val="0"/>
    <w:link w:val="23"/>
    <w:uiPriority w:val="0"/>
  </w:style>
  <w:style w:type="character" w:styleId="23" w:customStyle="1">
    <w:name w:val="日付 (文字)"/>
    <w:basedOn w:val="10"/>
    <w:next w:val="23"/>
    <w:link w:val="22"/>
    <w:uiPriority w:val="0"/>
  </w:style>
  <w:style w:type="paragraph" w:styleId="24" w:customStyle="1">
    <w:name w:val="ｷｬﾉﾜｰﾄﾞNX/J"/>
    <w:next w:val="24"/>
    <w:link w:val="0"/>
    <w:uiPriority w:val="0"/>
    <w:pPr>
      <w:widowControl w:val="0"/>
      <w:wordWrap w:val="0"/>
      <w:autoSpaceDE w:val="0"/>
      <w:autoSpaceDN w:val="0"/>
      <w:adjustRightInd w:val="0"/>
      <w:spacing w:line="451" w:lineRule="exact"/>
      <w:jc w:val="both"/>
    </w:pPr>
    <w:rPr>
      <w:rFonts w:ascii="ＭＳ 明朝" w:hAnsi="ＭＳ 明朝" w:eastAsia="ＭＳ 明朝"/>
      <w:spacing w:val="-1"/>
      <w:kern w:val="0"/>
      <w:sz w:val="24"/>
    </w:rPr>
  </w:style>
  <w:style w:type="table" w:styleId="25">
    <w:name w:val="Table Grid"/>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226</TotalTime>
  <Pages>2</Pages>
  <Words>197</Words>
  <Characters>1125</Characters>
  <Application>JUST Note</Application>
  <Lines>9</Lines>
  <Paragraphs>2</Paragraphs>
  <CharactersWithSpaces>1320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高橋　豊</dc:creator>
  <cp:lastModifiedBy>黒澤 恒貴</cp:lastModifiedBy>
  <cp:lastPrinted>2022-05-18T00:19:00Z</cp:lastPrinted>
  <dcterms:created xsi:type="dcterms:W3CDTF">2020-08-04T02:17:00Z</dcterms:created>
  <dcterms:modified xsi:type="dcterms:W3CDTF">2026-07-06T04:35:00Z</dcterms:modified>
  <cp:revision>14</cp:revision>
</cp:coreProperties>
</file>